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14 146 vom 5. August 2014</w:t>
      </w:r>
    </w:p>
    <w:p>
      <w:r>
        <w:t>BL Gerichte, 2014-08-05, DE</w:t>
      </w:r>
    </w:p>
    <w:p>
      <w:r>
        <w:rPr>
          <w:b/>
        </w:rPr>
        <w:t xml:space="preserve">Quelle: </w:t>
      </w:r>
      <w:r>
        <w:t>https://mcp.opencaselaw.ch/entscheid/bl_gerichte_470 14 146</w:t>
      </w:r>
    </w:p>
    <w:p>
      <w:r>
        <w:t>FR: BL_GERICHTE 470 14 146 du 5 août 2014</w:t>
      </w:r>
    </w:p>
    <w:p>
      <w:r>
        <w:t>IT: BL_GERICHTE 470 14 146 del 5 agosto 2014</w:t>
      </w:r>
    </w:p>
    <w:p>
      <w:pPr>
        <w:pStyle w:val="Heading2"/>
      </w:pPr>
      <w:r>
        <w:t>Regeste</w:t>
      </w:r>
    </w:p>
    <w:p>
      <w:r>
        <w:t>Verfahrenseinstellung</w:t>
      </w:r>
    </w:p>
    <w:p>
      <w:pPr>
        <w:pStyle w:val="Heading2"/>
      </w:pPr>
      <w:r>
        <w:t>Erwägungen</w:t>
      </w:r>
    </w:p>
    <w:p>
      <w:r>
        <w:rPr>
          <w:b/>
        </w:rPr>
        <w:t>E. 3</w:t>
      </w:r>
    </w:p>
    <w:p>
      <w:r>
        <w:t>Abschliessend ist über die Verteilung der Kosten zu befinden. Die Kosten des Rechtsmittelverfahrens tragen die Parteien gemäss Art. 428 Abs. 1 StPO nach Massgabe ihres Obsiegens oder Unterliegens. Dem Ausgang des Verfahrens entsprechend sind die Kosten vorliegend grundsätzlich teilweise dem Beschwerdeführer aufzuerlegen. Da der dem Beschwerdeführer zu entschädigende Aufwand von Fr. 100.-- für den Beizug einer Rechtsberatung in einem erheblichen Missverhältnis zu den von ihm zu tragenden Anteil an den Kosten des Beschwerdeverfahrens stünde, sind aus Gründen der Billigkeit in Anwendung von § 4 Abs. 3 GebT die Kosten des Beschwerdeverfahrens vollumfänglich der Staatskasse zu überbinden. Die Gerichtsgebühr ist auf Fr. 800.-- (§ 13 Abs. 1 i.V.m. § 3 Abs. 1 GebT) und die Auslagen sind pauschal auf Fr. 50.-- festzusetzen (§ 3 Abs. 6 GebT).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